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0"/>
          <w:szCs w:val="20"/>
        </w:rPr>
        <w:t>OBRAZAC ZA PRIJAVU NA JAVNI POZIV</w:t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i/>
          <w:sz w:val="20"/>
          <w:szCs w:val="20"/>
        </w:rPr>
        <w:t>Ministarstva komunalne privrede, infrastrukture, prostornog uređenja,</w:t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i/>
          <w:sz w:val="20"/>
          <w:szCs w:val="20"/>
        </w:rPr>
        <w:t>građenja i zaštite okoliša Kantona Sarajevo</w:t>
      </w:r>
    </w:p>
    <w:p>
      <w:pPr>
        <w:pStyle w:val="Standard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Prijava </w:t>
      </w:r>
      <w:r>
        <w:rPr>
          <w:rFonts w:cs="Times New Roman" w:ascii="Times New Roman" w:hAnsi="Times New Roman"/>
          <w:b/>
          <w:bCs/>
          <w:lang w:val="bs-BA"/>
        </w:rPr>
        <w:t xml:space="preserve">za dodjelu sredstava za realizaciju </w:t>
      </w:r>
      <w:r>
        <w:rPr>
          <w:rFonts w:cs="Times New Roman" w:ascii="Times New Roman" w:hAnsi="Times New Roman"/>
          <w:b/>
          <w:bCs/>
          <w:color w:val="000000"/>
          <w:lang w:val="bs-BA"/>
        </w:rPr>
        <w:t xml:space="preserve">programa </w:t>
      </w:r>
      <w:r>
        <w:rPr>
          <w:rStyle w:val="DefaultParagraphFont"/>
          <w:rFonts w:cs="Times New Roman" w:ascii="Times New Roman" w:hAnsi="Times New Roman"/>
          <w:b/>
          <w:bCs/>
          <w:color w:val="000000"/>
          <w:lang w:val="en-US"/>
        </w:rPr>
        <w:t>Sistemska sanacija objekata oštećenih ratnim dejstvima.</w:t>
      </w:r>
      <w:r>
        <w:rPr>
          <w:rFonts w:cs="Times New Roman" w:ascii="Times New Roman" w:hAnsi="Times New Roman"/>
          <w:b/>
          <w:bCs/>
          <w:color w:val="000000"/>
          <w:lang w:val="bs-B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lang w:val="hr-HR" w:eastAsia="en-GB" w:bidi="ar-SA"/>
        </w:rPr>
        <w:t>Budžetom Kantona Sarajevo za 2026. godinu</w:t>
      </w:r>
      <w:r>
        <w:rPr>
          <w:rFonts w:cs="Times New Roman" w:ascii="Times New Roman" w:hAnsi="Times New Roman"/>
          <w:b/>
          <w:bCs/>
          <w:color w:val="000000"/>
          <w:lang w:val="bs-BA"/>
        </w:rPr>
        <w:t xml:space="preserve"> </w:t>
      </w:r>
    </w:p>
    <w:p>
      <w:pPr>
        <w:pStyle w:val="western"/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978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"/>
        <w:gridCol w:w="5253"/>
        <w:gridCol w:w="4526"/>
      </w:tblGrid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9779" w:type="dxa"/>
            <w:gridSpan w:val="2"/>
            <w:tcBorders>
              <w:top w:val="single" w:sz="8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1. PODACI O PODNOSIOCU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1.1. Naziv jedinice lokalne samouprave: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1.2. Adresa: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1.3. Telefon: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1.4. Odgovorno lice (ime i prezime):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1.5. Kontakt podaci ovlaštene osobe:  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Ime i prezime: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Telefon: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30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E-mail: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9779" w:type="dxa"/>
            <w:gridSpan w:val="2"/>
            <w:tcBorders>
              <w:top w:val="single" w:sz="8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tabs>
                <w:tab w:val="clear" w:pos="708"/>
                <w:tab w:val="left" w:pos="109" w:leader="none"/>
                <w:tab w:val="left" w:pos="169" w:leader="none"/>
              </w:tabs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tabs>
                <w:tab w:val="clear" w:pos="708"/>
                <w:tab w:val="left" w:pos="109" w:leader="none"/>
                <w:tab w:val="left" w:pos="169" w:leader="none"/>
              </w:tabs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2. PROJEKAT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113" w:end="113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113" w:end="113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Napomena: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bs-BA" w:eastAsia="en-GB"/>
              </w:rPr>
              <w:t>Jedan podnositelj prijave, odnosno općina, po ovom Javnom pozivu može podnijeti više odvojenih prijava sa dokumentacijom za različite projekte, te za svaki objekat individualnog i kolektivnog stanovanja podnosi posebnu prijavu.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</w:tr>
      <w:tr>
        <w:trPr>
          <w:trHeight w:val="1260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675" w:leader="none"/>
              </w:tabs>
              <w:suppressAutoHyphens w:val="true"/>
              <w:bidi w:val="0"/>
              <w:spacing w:lineRule="auto" w:line="240" w:before="0" w:after="0"/>
              <w:ind w:hanging="0" w:start="0" w:end="0"/>
              <w:jc w:val="both"/>
              <w:rPr/>
            </w:pPr>
            <w:r>
              <w:rPr>
                <w:rStyle w:val="DefaultParagraphFont"/>
                <w:rFonts w:eastAsia="Times New Roman" w:cs="Times New Roman" w:ascii="Times New Roman" w:hAnsi="Times New Roman"/>
                <w:b/>
                <w:bCs/>
                <w:strike w:val="false"/>
                <w:dstrike w:val="false"/>
                <w:color w:val="000000"/>
                <w:sz w:val="24"/>
                <w:szCs w:val="24"/>
                <w:lang w:val="hr-HR" w:eastAsia="en-GB" w:bidi="ar-SA"/>
              </w:rPr>
              <w:t>2.1. Sistemska sanacija objekata oštećenih ratnim dejstvima</w:t>
            </w:r>
            <w:r>
              <w:rPr>
                <w:rStyle w:val="DefaultParagraphFont"/>
                <w:rFonts w:eastAsia="Times New Roman" w:cs="Times New Roman" w:ascii="Times New Roman" w:hAnsi="Times New Roman"/>
                <w:b/>
                <w:bCs/>
                <w:strike w:val="false"/>
                <w:dstrike w:val="false"/>
                <w:color w:val="000000"/>
                <w:sz w:val="24"/>
                <w:szCs w:val="24"/>
                <w:lang w:val="bs-BA" w:eastAsia="en-GB" w:bidi="ar-SA"/>
              </w:rPr>
              <w:t xml:space="preserve"> - sanacija  krovova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Segoe UI Symbol" w:ascii="Times New Roman" w:hAnsi="Times New Roman"/>
                <w:color w:val="000000"/>
                <w:sz w:val="24"/>
                <w:szCs w:val="24"/>
                <w:lang w:val="de-DE" w:eastAsia="en-GB"/>
              </w:rPr>
              <w:t>☐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de-DE" w:eastAsia="en-GB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de-DE" w:eastAsia="en-GB"/>
              </w:rPr>
              <w:t>sanacija krovova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br/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de-DE" w:eastAsia="en-GB"/>
              </w:rPr>
              <w:br/>
            </w:r>
          </w:p>
        </w:tc>
      </w:tr>
      <w:tr>
        <w:trPr>
          <w:trHeight w:val="94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both"/>
              <w:rPr/>
            </w:pPr>
            <w:r>
              <w:rPr>
                <w:rStyle w:val="DefaultParagraphFont"/>
                <w:rFonts w:eastAsia="Times New Roman" w:cs="Times New Roman" w:ascii="Times New Roman" w:hAnsi="Times New Roman"/>
                <w:b/>
                <w:bCs/>
                <w:strike w:val="false"/>
                <w:dstrike w:val="false"/>
                <w:color w:val="000000"/>
                <w:sz w:val="24"/>
                <w:szCs w:val="24"/>
                <w:lang w:val="hr-HR" w:eastAsia="en-GB" w:bidi="ar-SA"/>
              </w:rPr>
              <w:t>2.2. Sistemska sanacija objekata oštećenih ratnim dejstvima</w:t>
            </w:r>
            <w:r>
              <w:rPr>
                <w:rStyle w:val="DefaultParagraphFont"/>
                <w:rFonts w:eastAsia="Times New Roman" w:cs="Times New Roman" w:ascii="Times New Roman" w:hAnsi="Times New Roman"/>
                <w:b/>
                <w:bCs/>
                <w:strike w:val="false"/>
                <w:dstrike w:val="false"/>
                <w:color w:val="000000"/>
                <w:sz w:val="24"/>
                <w:szCs w:val="24"/>
                <w:lang w:val="bs-BA" w:eastAsia="en-GB" w:bidi="ar-SA"/>
              </w:rPr>
              <w:t xml:space="preserve"> - sanacija  liftova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Segoe UI Symbol" w:ascii="Times New Roman" w:hAnsi="Times New Roman"/>
                <w:color w:val="000000"/>
                <w:sz w:val="24"/>
                <w:szCs w:val="24"/>
                <w:lang w:val="de-DE" w:eastAsia="en-GB"/>
              </w:rPr>
              <w:t>☐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sanacija liftova</w:t>
              <w:br/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de-DE" w:eastAsia="en-GB"/>
              </w:rPr>
              <w:br/>
            </w:r>
          </w:p>
        </w:tc>
      </w:tr>
      <w:tr>
        <w:trPr>
          <w:trHeight w:val="2940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2.3. Finansijski podaci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en-GB" w:eastAsia="en-GB"/>
              </w:rPr>
              <w:t>Ukupna vrijednost projekta prema predračunu</w:t>
              <w:br/>
              <w:br/>
              <w:t>__________________KM</w:t>
              <w:br/>
              <w:br/>
              <w:t>Iznos sredstava koja se potražuju za sufinansiranje od Ministarstva (50% vrijednosti projekta)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br/>
              <w:br/>
              <w:t>__________________KM</w:t>
            </w:r>
          </w:p>
        </w:tc>
      </w:tr>
      <w:tr>
        <w:trPr>
          <w:trHeight w:val="1622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69" w:leader="none"/>
              </w:tabs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2.3.1. Da li je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bs-BA" w:eastAsia="en-GB"/>
              </w:rPr>
              <w:t xml:space="preserve">Općina  u svoj dio sufinansiranja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(50% vrijednosti projekta)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bs-BA" w:eastAsia="en-GB"/>
              </w:rPr>
              <w:t xml:space="preserve">uključila i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hr-HR" w:eastAsia="en-GB" w:bidi="ar-SA"/>
              </w:rPr>
              <w:t xml:space="preserve">etažne vlasnike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               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eastAsia="Times New Roman" w:cs="Segoe UI Symbol" w:ascii="Segoe UI Symbol" w:hAnsi="Segoe UI Symbol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☐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NE</w:t>
              <w:br/>
            </w:r>
            <w:r>
              <w:rPr>
                <w:rFonts w:eastAsia="Times New Roman" w:cs="Segoe UI Symbol" w:ascii="Segoe UI Symbol" w:hAnsi="Segoe UI Symbol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☐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 xml:space="preserve"> DA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en-GB"/>
              </w:rPr>
              <w:br/>
              <w:t xml:space="preserve">Ukoliko je odgovor DA navesti procenat učešća: ___________% </w:t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9779" w:type="dxa"/>
            <w:gridSpan w:val="2"/>
            <w:tcBorders>
              <w:top w:val="single" w:sz="8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  <w:lang w:val="bs-B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bs-BA"/>
              </w:rPr>
              <w:t xml:space="preserve">3. USLOVI POZIVA </w:t>
            </w:r>
          </w:p>
          <w:p>
            <w:pPr>
              <w:pStyle w:val="Textbody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da se objekat nalazi u </w:t>
            </w:r>
            <w:r>
              <w:rPr>
                <w:rFonts w:ascii="Times New Roman" w:hAnsi="Times New Roman"/>
                <w:sz w:val="20"/>
                <w:szCs w:val="20"/>
                <w:lang w:val="bs-BA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egistru ratnih šteta, </w:t>
              <w:br/>
              <w:t>2. da je naplativost minimalne naknade preko 60% u predhodnoj godini,</w:t>
            </w:r>
          </w:p>
          <w:p>
            <w:pPr>
              <w:pStyle w:val="Textbody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da imaju predmjer i predračun radova,</w:t>
              <w:br/>
              <w:t>4. da su etažni vlasnici donijeli odluku o sanaciji</w:t>
            </w:r>
            <w:r>
              <w:rPr>
                <w:rFonts w:ascii="Times New Roman" w:hAnsi="Times New Roman"/>
                <w:sz w:val="20"/>
                <w:szCs w:val="20"/>
                <w:lang w:val="bs-B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i načinu finansiranja</w:t>
            </w:r>
            <w:r>
              <w:rPr>
                <w:rFonts w:ascii="Times New Roman" w:hAnsi="Times New Roman"/>
                <w:sz w:val="20"/>
                <w:szCs w:val="20"/>
                <w:lang w:val="bs-BA"/>
              </w:rPr>
              <w:t xml:space="preserve"> ako etažni vlasnici učestvuju u dijelu sredstava koje sufinansira Općina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  <w:br/>
              <w:t>5. da su etažni vlasnici obezbijedili sredstva</w:t>
            </w:r>
            <w:r>
              <w:rPr>
                <w:rFonts w:ascii="Times New Roman" w:hAnsi="Times New Roman"/>
                <w:sz w:val="20"/>
                <w:szCs w:val="20"/>
                <w:lang w:val="bs-BA"/>
              </w:rPr>
              <w:t xml:space="preserve"> predhodne tačke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  <w:br/>
              <w:t>6. za objekat koji je pod zaštitom ima obezbijeđenu projektnu dokumentaciju i saglasnost Kantonalnog zavoda za zaštitu kulturno-historijskog i prirodnog nasljeđa,</w:t>
            </w:r>
          </w:p>
          <w:p>
            <w:pPr>
              <w:pStyle w:val="Textbody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7. da zgrade nisu ostvarile pravo na sanaciju krova (za Program sanacija krovova) ili lifta (za Program sanacija liftova) po nekom od projekata u zadnjih pet godina.</w:t>
            </w:r>
          </w:p>
          <w:p>
            <w:pPr>
              <w:pStyle w:val="Textbody"/>
              <w:spacing w:lineRule="auto" w:line="240"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9779" w:type="dxa"/>
            <w:gridSpan w:val="2"/>
            <w:tcBorders>
              <w:start w:val="single" w:sz="8" w:space="0" w:color="000000"/>
              <w:bottom w:val="single" w:sz="4" w:space="0" w:color="000000"/>
              <w:end w:val="single" w:sz="8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4.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u w:val="none"/>
                <w:lang w:val="bs-BA" w:eastAsia="en-GB"/>
              </w:rPr>
              <w:t xml:space="preserve">POSEBNI USLOVI – KRITERIJI ZA BODOVANJE ZA SANACIJU KROVOVA (najviše 50 bodova)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>
        <w:trPr>
          <w:trHeight w:val="1084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b/>
                <w:bCs/>
                <w:lang w:val="bs-BA"/>
              </w:rPr>
            </w:pPr>
            <w:r>
              <w:rPr>
                <w:rFonts w:cs="Times New Roman" w:ascii="Times New Roman" w:hAnsi="Times New Roman"/>
                <w:b/>
                <w:bCs/>
                <w:lang w:val="bs-BA"/>
              </w:rPr>
              <w:t xml:space="preserve">4.1. Adresa </w:t>
            </w:r>
            <w:r>
              <w:rPr>
                <w:rFonts w:cs="Times New Roman" w:ascii="Times New Roman" w:hAnsi="Times New Roman"/>
                <w:b/>
                <w:bCs/>
                <w:lang w:val="bs-BA"/>
              </w:rPr>
              <w:t>zgrade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  <w:t>______________________________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</w:tc>
      </w:tr>
      <w:tr>
        <w:trPr>
          <w:trHeight w:val="1084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5253" w:type="dxa"/>
            <w:tcBorders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lang w:val="bs-B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bs-BA" w:eastAsia="en-GB"/>
              </w:rPr>
              <w:t xml:space="preserve">4.2. Objekat evidentiran u Registru objekata oštećenih ratnim dejstvima – krov na bazi azbesta (10 bodova)  </w:t>
            </w:r>
          </w:p>
        </w:tc>
        <w:tc>
          <w:tcPr>
            <w:tcW w:w="4526" w:type="dxa"/>
            <w:tcBorders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DA, krov je na bazi azbesta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NE, krov nije na bazi azbest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</w:r>
          </w:p>
        </w:tc>
      </w:tr>
      <w:tr>
        <w:trPr>
          <w:trHeight w:val="1407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val="bs-BA" w:eastAsia="en-GB"/>
              </w:rPr>
              <w:t>4.3. Procenat naplativosti minimalne naknade (najviše 10 bodova)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_______%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55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i w:val="false"/>
                <w:iCs w:val="false"/>
                <w:lang w:val="bs-B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val="bs-BA" w:eastAsia="en-GB"/>
              </w:rPr>
              <w:t>4.4. Procenat saglasnih etažnih vlasnika (najviše 10 bodova)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Segoe UI Symbol"/>
                <w:b w:val="false"/>
                <w:bCs w:val="false"/>
                <w:sz w:val="24"/>
                <w:szCs w:val="24"/>
                <w:lang w:val="de-DE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_______%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</w:tc>
      </w:tr>
      <w:tr>
        <w:trPr>
          <w:trHeight w:val="870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de-DE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de-DE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b/>
                <w:bCs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  <w:lang w:val="bs-BA" w:eastAsia="en-GB"/>
              </w:rPr>
              <w:t xml:space="preserve">4.5. Broj posebnih dijelova (najviše 10 bodova)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de-DE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de-DE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do 10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od 11 do 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preko 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</w:tr>
      <w:tr>
        <w:trPr>
          <w:trHeight w:val="870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de-DE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de-DE" w:eastAsia="en-GB"/>
              </w:rPr>
            </w:r>
          </w:p>
        </w:tc>
        <w:tc>
          <w:tcPr>
            <w:tcW w:w="5253" w:type="dxa"/>
            <w:tcBorders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none"/>
                <w:lang w:val="bs-B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u w:val="none"/>
                <w:lang w:val="bs-BA"/>
              </w:rPr>
              <w:t>4.6. Učešće etažnih vlasnika u dijelu sufinasiranja (najviše 10 bodova)</w:t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4526" w:type="dxa"/>
            <w:tcBorders>
              <w:start w:val="single" w:sz="4" w:space="0" w:color="000000"/>
              <w:bottom w:val="single" w:sz="4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učešče etažnih vlasnika od 20% i više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učešće etažnih vlasnika do 19,99%</w:t>
            </w:r>
          </w:p>
        </w:tc>
      </w:tr>
      <w:tr>
        <w:trPr>
          <w:trHeight w:val="1242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97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bottom"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113"/>
              <w:jc w:val="star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u w:val="none"/>
                <w:lang w:val="bs-BA" w:eastAsia="en-GB"/>
              </w:rPr>
              <w:t xml:space="preserve">5. POSEBNI USLOVI - KRITERIJI ZA BODOVANJE ZA SANACIJU LIFTOVA (najviše 60 bodova)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i w:val="false"/>
                <w:iCs w:val="false"/>
                <w:lang w:val="bs-BA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lang w:val="bs-BA"/>
              </w:rPr>
            </w:r>
          </w:p>
          <w:p>
            <w:pPr>
              <w:pStyle w:val="Textbody"/>
              <w:spacing w:before="0" w:after="0"/>
              <w:rPr>
                <w:rFonts w:ascii="Times New Roman" w:hAnsi="Times New Roman" w:cs="Times New Roman"/>
                <w:b/>
                <w:bCs/>
                <w:i w:val="false"/>
                <w:iCs w:val="false"/>
                <w:lang w:val="bs-BA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lang w:val="bs-BA"/>
              </w:rPr>
              <w:t xml:space="preserve">5.1. Adresa </w:t>
            </w: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lang w:val="bs-BA"/>
              </w:rPr>
              <w:t>zgrade</w:t>
            </w:r>
          </w:p>
          <w:p>
            <w:pPr>
              <w:pStyle w:val="Textbody"/>
              <w:spacing w:before="0" w:after="0"/>
              <w:rPr>
                <w:rFonts w:ascii="Times New Roman" w:hAnsi="Times New Roman" w:cs="Times New Roman"/>
                <w:i w:val="false"/>
                <w:iCs w:val="false"/>
                <w:lang w:val="bs-BA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lang w:val="bs-BA"/>
              </w:rPr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_______________________________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i w:val="false"/>
                <w:iCs w:val="false"/>
                <w:lang w:val="bs-B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val="en-GB" w:eastAsia="en-GB"/>
              </w:rPr>
              <w:t xml:space="preserve">5.2.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val="bs-BA" w:eastAsia="en-GB"/>
              </w:rPr>
              <w:t>Procenat naplativosti minimalne naknade (najviše 10 bodova)</w:t>
            </w:r>
          </w:p>
        </w:tc>
        <w:tc>
          <w:tcPr>
            <w:tcW w:w="45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de-DE" w:eastAsia="en-GB"/>
              </w:rPr>
              <w:t>_______%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GB" w:eastAsia="en-GB"/>
              </w:rPr>
            </w:r>
          </w:p>
        </w:tc>
      </w:tr>
      <w:tr>
        <w:trPr>
          <w:trHeight w:val="79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i w:val="false"/>
                <w:iCs w:val="false"/>
                <w:sz w:val="24"/>
                <w:szCs w:val="24"/>
                <w:lang w:val="bs-B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val="bs-BA" w:eastAsia="en-GB"/>
              </w:rPr>
              <w:t xml:space="preserve">5.3. Procenat saglasnih etažnih vlasnika (najviše 10 bodova)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  <w:t> 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  <w:t>_______%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</w:tc>
      </w:tr>
      <w:tr>
        <w:trPr>
          <w:trHeight w:val="315" w:hRule="atLeast"/>
        </w:trPr>
        <w:tc>
          <w:tcPr>
            <w:tcW w:w="2" w:type="dxa"/>
            <w:tcBorders/>
          </w:tcPr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r>
          </w:p>
        </w:tc>
        <w:tc>
          <w:tcPr>
            <w:tcW w:w="5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extbody"/>
              <w:spacing w:before="0" w:after="0"/>
              <w:rPr>
                <w:rFonts w:ascii="Times New Roman" w:hAnsi="Times New Roman" w:cs="Times New Roman"/>
                <w:lang w:val="bs-B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5.4. Broj posebnih dijelova (najviše 10 bodova)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do 10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od 11 do 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de-DE"/>
              </w:rPr>
              <w:t>preko 100</w:t>
            </w:r>
          </w:p>
        </w:tc>
      </w:tr>
      <w:tr>
        <w:trPr>
          <w:trHeight w:val="827" w:hRule="atLeast"/>
        </w:trPr>
        <w:tc>
          <w:tcPr>
            <w:tcW w:w="52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none"/>
                <w:lang w:val="bs-B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u w:val="none"/>
                <w:lang w:val="bs-BA"/>
              </w:rPr>
              <w:t>5.5.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u w:val="none"/>
                <w:lang w:val="bs-BA"/>
              </w:rPr>
              <w:t>Spratnost objekta (najviše 20 bodova)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u w:val="none"/>
                <w:lang w:val="bs-BA"/>
              </w:rPr>
              <w:t xml:space="preserve"> </w:t>
            </w:r>
          </w:p>
        </w:tc>
        <w:tc>
          <w:tcPr>
            <w:tcW w:w="4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lang w:eastAsia="en-GB"/>
              </w:rPr>
              <w:t xml:space="preserve">_______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  <w:t>spratova</w:t>
            </w:r>
          </w:p>
        </w:tc>
      </w:tr>
      <w:tr>
        <w:trPr>
          <w:trHeight w:val="1569" w:hRule="atLeast"/>
        </w:trPr>
        <w:tc>
          <w:tcPr>
            <w:tcW w:w="5255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none"/>
                <w:lang w:val="bs-BA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u w:val="none"/>
                <w:lang w:val="bs-BA"/>
              </w:rPr>
              <w:t>5.6. Učešće etažnih vlasnika u dijelu sufinasiranja (najviše 10 bodova)</w:t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ind w:firstLineChars="13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r>
          </w:p>
        </w:tc>
        <w:tc>
          <w:tcPr>
            <w:tcW w:w="45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učešče etažnih vlasnika od 20% i više</w:t>
              <w:br/>
            </w:r>
            <w:r>
              <w:rPr>
                <w:rFonts w:cs="Segoe UI Symbol" w:ascii="Times New Roman" w:hAnsi="Times New Roman"/>
                <w:b w:val="false"/>
                <w:bCs w:val="false"/>
                <w:sz w:val="24"/>
                <w:szCs w:val="24"/>
              </w:rPr>
              <w:t>☐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učešće etažnih vlasnika do 19,99%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en-GB"/>
              </w:rPr>
            </w:r>
          </w:p>
        </w:tc>
      </w:tr>
    </w:tbl>
    <w:tbl>
      <w:tblPr>
        <w:tblStyle w:val="TableGrid"/>
        <w:tblW w:w="977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776"/>
      </w:tblGrid>
      <w:tr>
        <w:trPr>
          <w:trHeight w:val="315" w:hRule="atLeast"/>
        </w:trPr>
        <w:tc>
          <w:tcPr>
            <w:tcW w:w="9776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bs-BA" w:eastAsia="en-US" w:bidi="ar-SA"/>
              </w:rPr>
              <w:t>6. DOKUMENTACIJA UZ PRIJAVU PROJEKTA NA JAVNI POZIV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4596" w:hRule="atLeast"/>
        </w:trPr>
        <w:tc>
          <w:tcPr>
            <w:tcW w:w="9776" w:type="dxa"/>
            <w:tcBorders>
              <w:bottom w:val="nil"/>
            </w:tcBorders>
          </w:tcPr>
          <w:p>
            <w:pPr>
              <w:pStyle w:val="Normal"/>
              <w:suppressAutoHyphens w:val="false"/>
              <w:spacing w:before="0" w:after="0"/>
              <w:rPr>
                <w:rFonts w:ascii="Times New Roman" w:hAnsi="Times New Roman"/>
                <w:sz w:val="24"/>
                <w:szCs w:val="24"/>
                <w:lang w:val="bs-B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 xml:space="preserve">1. Izjavu da je Projekat usklađen sa internim aktima općine; </w:t>
            </w:r>
          </w:p>
          <w:p>
            <w:pPr>
              <w:pStyle w:val="Normal"/>
              <w:suppressAutoHyphens w:val="false"/>
              <w:spacing w:before="0" w:after="0"/>
              <w:rPr>
                <w:rFonts w:ascii="Times New Roman" w:hAnsi="Times New Roman"/>
                <w:sz w:val="24"/>
                <w:szCs w:val="24"/>
                <w:lang w:val="bs-B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 xml:space="preserve">2.  Izjavu o namjenskom trošenju sredstava potpisanu od strane odgovorne osobe; 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val="bs-B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 xml:space="preserve">3. Izjavu o visini vlastitog finansijskog učešća u implementaciji projekta potpisanu od strane odgovorne osobe; </w:t>
            </w:r>
          </w:p>
          <w:p>
            <w:pPr>
              <w:pStyle w:val="Normal"/>
              <w:suppressAutoHyphens w:val="false"/>
              <w:spacing w:before="0" w:after="0"/>
              <w:rPr>
                <w:rFonts w:ascii="Times New Roman" w:hAnsi="Times New Roman"/>
                <w:sz w:val="24"/>
                <w:szCs w:val="24"/>
                <w:lang w:val="bs-B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 xml:space="preserve">4. Predmjer i predračun radova; odobrenje za tekuće održavanje ili rekonstrukciju; 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val="bs-B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5. Izjavu da će općina provesti postupak javne nabavke u skladu sa Zakonom o javnim nabavkama BiH (“Službeni glasnik Bosne i Hercegovine" broj 39/14, 59/22 i 50/24);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val="bs-B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6. Izjavu da su etažni vlasnici donijeli odluku o izvođenju radova sanacije zajedničkih dijelova u skladu sa Zakonom o u upravljanju zajedničkim dijelova zgrade uz navođenje procenta saglasnih etažnih vlasnika;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val="bs-B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 xml:space="preserve">7. Potvrdu od upravnika o procentu naplate minimalne naknade u 2025. godini; 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val="bs-B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8. Izjavu o spratnosti zgrade, ako se kandiduje projekat sanacije liftova;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val="bs-B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9. Izjavu da će postupati u skladu sa Pravilnikom o građevinskom otpadu („Službene novine F BiH“ broj 93/19) prilikom uklanjanja i konačnog zbrinjavanja materijala na bazi azbesta;</w:t>
            </w:r>
          </w:p>
          <w:p>
            <w:pPr>
              <w:pStyle w:val="Normal"/>
              <w:suppressAutoHyphens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val="bs-B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10. P</w:t>
            </w:r>
            <w:r>
              <w:rPr>
                <w:rFonts w:ascii="Times New Roman" w:hAnsi="Times New Roman"/>
                <w:sz w:val="24"/>
                <w:szCs w:val="24"/>
                <w:lang w:val="bs-BA"/>
              </w:rPr>
              <w:t>rojektnu dokumentaciju i saglasnost Kantonalnog zavoda za zaštitu kulturno-historijskog i prirodnog nasljeđa, ako je objekat pod zaštitom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bs-BA" w:eastAsia="en-GB" w:bidi="ar-SA"/>
              </w:rPr>
              <w:t>;</w:t>
            </w:r>
          </w:p>
          <w:p>
            <w:pPr>
              <w:pStyle w:val="Normal"/>
              <w:suppressAutoHyphens w:val="false"/>
              <w:spacing w:before="0" w:after="16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u w:val="none"/>
                <w:lang w:val="bs-BA" w:eastAsia="en-US" w:bidi="ar-SA"/>
              </w:rPr>
              <w:t>11. Izjavu da će obezbijediti stručni nadzor nad izvođenjem radova.</w:t>
            </w:r>
          </w:p>
        </w:tc>
      </w:tr>
      <w:tr>
        <w:trPr>
          <w:trHeight w:val="315" w:hRule="atLeast"/>
        </w:trPr>
        <w:tc>
          <w:tcPr>
            <w:tcW w:w="977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u w:val="singl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u w:val="single"/>
                <w:lang w:val="bs-BA" w:eastAsia="en-US" w:bidi="ar-SA"/>
              </w:rPr>
              <w:t>Svi dokumenti koji se prilažu uz prijavu moraju biti originali ili ovjerene kopije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u w:val="single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softHyphen/>
        <w:t xml:space="preserve">___________                            _______________       </w:t>
      </w:r>
      <w:r>
        <w:rPr>
          <w:rFonts w:cs="Times New Roman" w:ascii="Times New Roman" w:hAnsi="Times New Roman"/>
          <w:sz w:val="20"/>
          <w:szCs w:val="20"/>
        </w:rPr>
        <w:t xml:space="preserve"> M.P.  </w:t>
      </w:r>
      <w:r>
        <w:rPr>
          <w:rFonts w:cs="Times New Roman" w:ascii="Times New Roman" w:hAnsi="Times New Roman"/>
          <w:sz w:val="24"/>
          <w:szCs w:val="24"/>
        </w:rPr>
        <w:t xml:space="preserve">          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Mjesto                                             Datum                                            Potpis odgovorne osobe</w:t>
      </w:r>
    </w:p>
    <w:p>
      <w:pPr>
        <w:pStyle w:val="Normal"/>
        <w:spacing w:before="0" w:after="160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Napomena: Dokument se može popuniti u elektronskom obliku, s tim da potpis mora biti orginalan / vlastoručan</w:t>
      </w:r>
    </w:p>
    <w:p>
      <w:pPr>
        <w:pStyle w:val="Normal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Times New Roman" w:hAnsi="Times New Roman"/>
          <w:lang w:val="bs-BA"/>
        </w:rPr>
      </w:pPr>
      <w:r>
        <w:rPr>
          <w:rFonts w:ascii="Times New Roman" w:hAnsi="Times New Roman"/>
          <w:lang w:val="bs-BA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val="bs-BA" w:eastAsia="en-GB" w:bidi="ar-SA"/>
        </w:rPr>
      </w:pPr>
      <w:r>
        <w:rPr>
          <w:rFonts w:eastAsia="Times New Roman" w:cs="Times New Roman" w:ascii="Times New Roman" w:hAnsi="Times New Roman"/>
          <w:color w:val="000000"/>
          <w:lang w:val="bs-BA" w:eastAsia="en-GB" w:bidi="ar-SA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lang w:val="hr-HR" w:eastAsia="en-GB" w:bidi="ar-SA"/>
        </w:rPr>
      </w:pPr>
      <w:r>
        <w:rPr>
          <w:rFonts w:eastAsia="Times New Roman" w:cs="Times New Roman" w:ascii="Times New Roman" w:hAnsi="Times New Roman"/>
          <w:color w:val="000000"/>
          <w:lang w:val="hr-HR" w:eastAsia="en-GB" w:bidi="ar-SA"/>
        </w:rPr>
      </w:r>
    </w:p>
    <w:p>
      <w:pPr>
        <w:pStyle w:val="BodyText"/>
        <w:spacing w:before="0" w:after="140"/>
        <w:rPr>
          <w:rStyle w:val="Strong"/>
          <w:rFonts w:ascii="Times New Roman" w:hAnsi="Times New Roman"/>
          <w:b/>
          <w:bCs/>
          <w:lang w:val="bs-BA"/>
        </w:rPr>
      </w:pPr>
      <w:r>
        <w:rPr>
          <w:rFonts w:ascii="Times New Roman" w:hAnsi="Times New Roman"/>
          <w:b/>
          <w:bCs/>
          <w:lang w:val="bs-BA"/>
        </w:rPr>
      </w:r>
    </w:p>
    <w:sectPr>
      <w:type w:val="nextPage"/>
      <w:pgSz w:w="11906" w:h="16838"/>
      <w:pgMar w:left="1417" w:right="991" w:gutter="0" w:header="0" w:top="1417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Segoe UI Symbol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51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bs-Latn-B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s-B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c2a4e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s-B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cf203d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cf203d"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cf203d"/>
    <w:rPr>
      <w:b/>
      <w:bCs/>
      <w:sz w:val="20"/>
      <w:szCs w:val="20"/>
    </w:rPr>
  </w:style>
  <w:style w:type="character" w:styleId="LineNumber">
    <w:name w:val="line number"/>
    <w:rPr/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f4c58"/>
    <w:pPr>
      <w:spacing w:before="0" w:after="160"/>
      <w:ind w:star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a57b52"/>
    <w:pPr>
      <w:spacing w:lineRule="auto" w:line="288" w:beforeAutospacing="1" w:after="144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Textbody" w:customStyle="1">
    <w:name w:val="Text body"/>
    <w:basedOn w:val="Normal"/>
    <w:qFormat/>
    <w:rsid w:val="00d73b2f"/>
    <w:pPr>
      <w:suppressAutoHyphens w:val="true"/>
      <w:spacing w:lineRule="auto" w:line="288" w:before="0" w:after="140"/>
      <w:textAlignment w:val="baseline"/>
    </w:pPr>
    <w:rPr>
      <w:rFonts w:ascii="Liberation Serif" w:hAnsi="Liberation Serif" w:eastAsia="SimSun" w:cs="Mangal"/>
      <w:kern w:val="2"/>
      <w:sz w:val="24"/>
      <w:szCs w:val="24"/>
      <w:lang w:eastAsia="zh-CN" w:bidi="hi-IN"/>
    </w:rPr>
  </w:style>
  <w:style w:type="paragraph" w:styleId="western" w:customStyle="1">
    <w:name w:val="western"/>
    <w:basedOn w:val="Normal"/>
    <w:qFormat/>
    <w:rsid w:val="00d73b2f"/>
    <w:pPr>
      <w:spacing w:lineRule="auto" w:line="240" w:before="280" w:after="57"/>
      <w:textAlignment w:val="baseline"/>
    </w:pPr>
    <w:rPr>
      <w:rFonts w:ascii="Times New Roman" w:hAnsi="Times New Roman" w:eastAsia="Times New Roman" w:cs="Times New Roman"/>
      <w:color w:val="000000"/>
      <w:lang w:eastAsia="zh-CN"/>
    </w:rPr>
  </w:style>
  <w:style w:type="paragraph" w:styleId="Standard" w:customStyle="1">
    <w:name w:val="Standard"/>
    <w:qFormat/>
    <w:rsid w:val="00150c78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bs-BA" w:eastAsia="zh-CN" w:bidi="hi-IN"/>
    </w:rPr>
  </w:style>
  <w:style w:type="paragraph" w:styleId="Revision">
    <w:name w:val="Revision"/>
    <w:uiPriority w:val="99"/>
    <w:semiHidden/>
    <w:qFormat/>
    <w:rsid w:val="007a4b5a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s-BA" w:eastAsia="en-US"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cf203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qFormat/>
    <w:rsid w:val="00cf203d"/>
    <w:pPr/>
    <w:rPr>
      <w:b/>
      <w:bCs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749" w:leader="none"/>
        <w:tab w:val="right" w:pos="949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7452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5Dark-Accent1">
    <w:name w:val="Grid Table 5 Dark Accent 1"/>
    <w:basedOn w:val="TableNormal"/>
    <w:uiPriority w:val="50"/>
    <w:rsid w:val="00f63461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922A7-BFA3-4A2E-B500-DF7B82998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Application>LibreOffice/26.2.5.2$Windows_X86_64 LibreOffice_project/cd7284b4cbbfeb507e630c1aac019f4157393acb</Application>
  <AppVersion>15.0000</AppVersion>
  <Pages>4</Pages>
  <Words>703</Words>
  <Characters>4171</Characters>
  <CharactersWithSpaces>5027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2026-07-28T07:17:00Z</dcterms:created>
  <dc:creator>Acer</dc:creator>
  <dc:description/>
  <dc:language>en-GB</dc:language>
  <cp:lastModifiedBy/>
  <cp:lastPrinted>2025-05-19T12:05:00Z</cp:lastPrinted>
  <dcterms:modified xsi:type="dcterms:W3CDTF">2026-09-17T13:14:33Z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